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Bewilligung eines Härteausgleichs sind die obersten Entschädigungsbehörden der Länder zuständig.</w:t>
      </w:r>
    </w:p>
    <w:p>
      <w:r>
        <w:t xml:space="preserve">(2) Örtlich zuständig ist die oberste Entschädigungsbehörde des Landes, dessen Entschädigungsbehörden nach §§ 185, 186 für die Entscheidung über die Ansprüche nach diesem Gesetz zuständig sind oder zuständig wären.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187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