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182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der Regelung der Ansprüche auf Entschädigung für Schaden an einer Versicherung außerhalb der Sozialversicherung sind die beteiligten Versicherungseinrichtungen auf Verlangen der Entschädigungsorgane zur Mitwirkung verpflichtet; sie haben insbesondere die erforderlichen Berechnungen vorzunehmen und aus Büchern oder Akten Auskünfte zu geben.</w:t>
      </w:r>
    </w:p>
    <w:p>
      <w:r>
        <w:t xml:space="preserve">(2) Die Entschädigungsorgane sollen bei der Entscheidung über den Entschädigungsanspruch die zuständige Versicherungsaufsichtsbehörde zu den Berechnungen und Auskünften der beteiligten Versicherungseinrichtungen hören.</w:t>
      </w:r>
    </w:p>
    <w:p>
      <w:r>
        <w:t xml:space="preserve">(3) Den Versicherungseinrichtungen sind die erforderlichen Kosten, die ihnen durch ihre Mitwirkung nach Absatz 1 entstehen, nach Pauschsätzen zu erstatten, die das Bundesministerium für Wirtschaft und Technologie durch Rechtsverordnung festsetzt; das Bundesministerium für Wirtschaft und Technologie kann diese Ermächtigung weiter übertragen.</w:t>
      </w:r>
    </w:p>
    <w:p>
      <w:r>
        <w:rPr>
          <w:color w:val="555555"/>
          <w:sz w:val="17"/>
        </w:rPr>
        <w:t xml:space="preserve">Zitiervorschlag: § 182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https://recht.nulegal.eu/gesetze/BEG/182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