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Rente wird nach Maßgabe der Versorgungsbezüge festgesetzt, die den Hinterbliebenen eines mit dem Verfolgten nach seiner wirtschaftlichen Stellung vergleichbaren Bundesbeamten einer Besoldungsgruppe mit aufsteigenden Gehältern im Falle seines durch Dienstunfall herbeigeführten Todes nach den Vorschriften über die Unfallfürsorge der Bundesbeamten gewährt würden. Die wirtschaftliche Stellung ist nach dem Durchschnittseinkommen des Verfolgten in den letzten drei Jahren vor seinem Tode zu beurteilen; eine Minderung seines Einkommens durch vorausgegangene Verfolgung bleibt außer Betracht. Neben der wirtschaftlichen Stellung ist auch die soziale Stellung des Verfolgten zu berücksichtigen, wenn dies zu einer günstigeren Einreihung des Verfolgten in eine vergleichbare Beamtengruppe führt.</w:t>
      </w:r>
    </w:p>
    <w:p>
      <w:r>
        <w:t xml:space="preserve">(2) Die Rente ist in einem Hundertsatz von weniger als 100 vom Hundert der Versorgungsbezüge nach Absatz 1 festzusetzen, wenn die Berücksichtigung der wirtschaftlichen Verhältnisse des Hinterbliebenen dies rechtfertigt. Bei der Würdigung der wirtschaftlichen Verhältnisse sind auch die Beträge zu berücksichtigen, die der Hinterbliebene zu erwerben unterläßt, obwohl ihm der Erwerb zuzumuten ist.</w:t>
      </w:r>
    </w:p>
    <w:p>
      <w:r>
        <w:t xml:space="preserve">(3) Bei der Berechnung der Rente ist die jeweilige Höhe der gesetzlichen Versorgungsbezüge vergleichbarer Beamtengruppen im Sinne des Absatzes 1 zugrunde zu legen.</w:t>
      </w:r>
    </w:p>
    <w:p>
      <w:r>
        <w:rPr>
          <w:color w:val="555555"/>
          <w:sz w:val="17"/>
        </w:rPr>
        <w:t xml:space="preserve">Zitiervorschlag: § 18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