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176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Die Entschädigungsorgane haben von Amts wegen alle für die Entscheidung erheblichen Tatsachen zu ermitteln und alle erforderlichen Beweise zu erheben.</w:t>
      </w:r>
    </w:p>
    <w:p>
      <w:r>
        <w:t xml:space="preserve">(2) Kann der Beweis für eine Tatsache infolge der Lage, in die der Antragsteller durch nationalsozialistische Gewaltmaßnahmen geraten ist, nicht vollständig erbracht werden, so können die Entschädigungsorgane diese Tatsache unter Würdigung aller Umstände zugunsten des Antragstellers für festgestellt erachten. Ebenso ist zu verfahren, wenn Urkunden verlorengegangen, Zeugen verstorben oder unauffindbar sind oder wenn die Vernehmung des Antragstellers oder eines Zeugen mit Schwierigkeiten verbunden ist, die in keinem Verhältnis zu der Bedeutung der Aussage stehen.</w:t>
      </w:r>
    </w:p>
    <w:p>
      <w:r>
        <w:rPr>
          <w:color w:val="555555"/>
          <w:sz w:val="17"/>
        </w:rPr>
        <w:t xml:space="preserve">Zitiervorschlag: § 176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