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175a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Hat eine Behörde, die für Ansprüche nach § 5 Abs. 1 zuständig ist, oder ein Gericht, das für Ansprüche nach § 5 Abs. 1 zuständig ist, in einer nicht mehr anfechtbaren Entscheidung eine der in § 5 Abs. 1 aufgeführten besonderen Rechtsvorschriften wegen der Rechtsnatur des Anspruchs für anwendbar oder für nicht anwendbar erklärt, so sind die Entschädigungsorgane an diese Beurteilung gebunden. War der Anspruch auf Entschädigung durch unanfechtbaren Bescheid oder rechtskräftige gerichtliche Entscheidung abgelehnt worden, so ist die Entschädigungsbehörde auf Verlangen des Antragstellers verpflichtet, einen neuen Bescheid über den Anspruch auf Entschädigung zu erlassen. Die Rechtskraft einer gerichtlichen Entscheidung steht dabei nicht entgegen.</w:t>
      </w:r>
    </w:p>
    <w:p>
      <w:r>
        <w:rPr>
          <w:color w:val="555555"/>
          <w:sz w:val="17"/>
        </w:rPr>
        <w:t xml:space="preserve">Zitiervorschlag: § 175a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https://recht.nulegal.eu/gesetze/BEG/175a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