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174 BEG</w:t>
      </w:r>
    </w:p>
    <w:p>
      <w:r>
        <w:rPr>
          <w:color w:val="555555"/>
          <w:sz w:val="18"/>
        </w:rPr>
        <w:t xml:space="preserve">Bundesentschädigungsgesetz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Entschädigungsverfahren gliedert sich in</w:t>
      </w:r>
    </w:p>
    <w:p>
      <w:pPr>
        <w:ind w:left="420"/>
      </w:pPr>
      <w:r>
        <w:t xml:space="preserve">1. das Verfahren bei den Entschädigungsbehörden,</w:t>
      </w:r>
    </w:p>
    <w:p>
      <w:pPr>
        <w:ind w:left="420"/>
      </w:pPr>
      <w:r>
        <w:t xml:space="preserve">2. das Verfahren vor den Entschädigungsgerichten, soweit das Verfahren bei den Entschädigungsbehörden keine Erledigung gefunden hat.</w:t>
      </w:r>
    </w:p>
    <w:p>
      <w:r>
        <w:rPr>
          <w:color w:val="555555"/>
          <w:sz w:val="17"/>
        </w:rPr>
        <w:t xml:space="preserve">Zitiervorschlag: § 174 BEG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https://recht.nulegal.eu/gesetze/BEG/174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