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Entschädigungsorgane sind</w:t>
      </w:r>
    </w:p>
    <w:p>
      <w:pPr>
        <w:ind w:left="420"/>
      </w:pPr>
      <w:r>
        <w:t xml:space="preserve">1. die Entschädigungsbehörden der Länder,</w:t>
      </w:r>
    </w:p>
    <w:p>
      <w:pPr>
        <w:ind w:left="420"/>
      </w:pPr>
      <w:r>
        <w:t xml:space="preserve">2. die Entschädigungsgerichte.</w:t>
      </w:r>
    </w:p>
    <w:p>
      <w:r>
        <w:rPr>
          <w:color w:val="555555"/>
          <w:sz w:val="17"/>
        </w:rPr>
        <w:t xml:space="preserve">Zitiervorschlag: § 173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