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Rente steht folgenden Hinterbliebenen zu:</w:t>
      </w:r>
    </w:p>
    <w:p>
      <w:pPr>
        <w:ind w:left="420"/>
      </w:pPr>
      <w:r>
        <w:t xml:space="preserve">1. der Witwe bis zu ihrer Wiederverheiratung oder bis zu ihrem Tode;</w:t>
      </w:r>
    </w:p>
    <w:p>
      <w:pPr>
        <w:ind w:left="420"/>
      </w:pPr>
      <w:r>
        <w:t xml:space="preserve">2. dem Witwer bis zu seiner Wiederverheiratung oder bis zu seinem Tode, wenn die Verfolgte nach dem 31. Dezember 1985 gestorben ist. Ist die Verfolgte vor dem 1. Januar 1986 gestorben, steht dem Witwer die Rente nur zu, sofern ihn die Verfolgte zur Zeit des Beginns der Verfolgung, die zu Tode geführt hat, unterhalten hat oder, wenn sie noch lebte, unterhalten würde;</w:t>
      </w:r>
    </w:p>
    <w:p>
      <w:pPr>
        <w:ind w:left="420"/>
      </w:pPr>
      <w:r>
        <w:t xml:space="preserve">3. den Kindern für die Zeit, in der für sie nach dem bis zum 31. Dezember 1974 geltenden Beamtenrecht Kinderzuschläge gewährt werden können;</w:t>
      </w:r>
    </w:p>
    <w:p>
      <w:pPr>
        <w:ind w:left="420"/>
      </w:pPr>
      <w:r>
        <w:t xml:space="preserve">4. den elternlosen Enkeln unter den Voraussetzungen der Nummer 3, sofern sie der Verfolgte zur Zeit des Beginns der Verfolgung, die zum Tode geführt hat, unterhalten hat, oder, wenn er noch lebte, unterhalten würde;</w:t>
      </w:r>
    </w:p>
    <w:p>
      <w:pPr>
        <w:ind w:left="420"/>
      </w:pPr>
      <w:r>
        <w:t xml:space="preserve">5. den Verwandten der aufsteigenden Linie für die Dauer der Bedürftigkeit;</w:t>
      </w:r>
    </w:p>
    <w:p>
      <w:pPr>
        <w:ind w:left="420"/>
      </w:pPr>
      <w:r>
        <w:t xml:space="preserve">6. den Adoptiveltern unter den Voraussetzungen der Nummer 5.</w:t>
      </w:r>
    </w:p>
    <w:p>
      <w:r>
        <w:t xml:space="preserve">(2) Der Witwe oder dem Witwer werden unter den Voraussetzungen des Absatzes 1 Nr. 1 oder 2 gleichgestellt</w:t>
      </w:r>
    </w:p>
    <w:p>
      <w:pPr>
        <w:ind w:left="420"/>
      </w:pPr>
      <w:r>
        <w:t xml:space="preserve">1. der schuldlos geschiedene Ehegatte;</w:t>
      </w:r>
    </w:p>
    <w:p>
      <w:pPr>
        <w:ind w:left="420"/>
      </w:pPr>
      <w:r>
        <w:t xml:space="preserve">2. der einem schuldlos geschiedenen Ehegatten gleichgestellte frühere Ehegatte, dessen Ehe aufgehoben oder für nichtig erklärt worden ist;</w:t>
      </w:r>
    </w:p>
    <w:p>
      <w:pPr>
        <w:ind w:left="420"/>
      </w:pPr>
      <w:r>
        <w:t xml:space="preserve">3. Personen, deren Verbindung mit dem Verfolgten auf Grund des Bundesgesetzes über die Anerkennung freier Ehen rassisch und politisch Verfolgter oder auf Grund von Rechtsvorschriften der Länder die Rechtswirkungen einer gesetzlichen Ehe zuerkannt worden sind;</w:t>
      </w:r>
    </w:p>
    <w:p>
      <w:pPr>
        <w:ind w:left="420"/>
      </w:pPr>
      <w:r>
        <w:t xml:space="preserve">4. die Frau, deren Ehe mit dem Verfolgten nachträglich durch eine Anordnung auf Grund des Bundesgesetzes über die Rechtswirkungen des Ausspruchs einer nachträglichen Eheschließung geschlossen worden ist.</w:t>
      </w:r>
    </w:p>
    <w:p>
      <w:r>
        <w:t xml:space="preserve">(3) Absatz 2 Nr. 1 und 2 findet keine Anwendung auf einen Ehegatten, der sich aus Gründen, die den Verfolgungsgründen des § 1 entsprechen, von dem verfolgten Ehegatten abgewandt hat.</w:t>
      </w:r>
    </w:p>
    <w:p>
      <w:r>
        <w:rPr>
          <w:color w:val="555555"/>
          <w:sz w:val="17"/>
        </w:rPr>
        <w:t xml:space="preserve">Zitiervorschlag: § 17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