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Reicht die dem Verfolgten gewährte Entschädigung in Verbindung mit seinem Vermögen und seinen sonstigen Einkünften zur Bestreitung des Lebensunterhaltes nicht aus, so wird ihm ein angemessener Härteausgleich gewährt.</w:t>
      </w:r>
    </w:p>
    <w:p>
      <w:r>
        <w:t xml:space="preserve">(2) Absatz 1 gilt auch dann, wenn der Verfolgte zu einem Personenkreis gehört, für den Fonds mit besonderer Zweckbestimmung anderweitig vorgesehen sind.</w:t>
      </w:r>
    </w:p>
    <w:p>
      <w:r>
        <w:rPr>
          <w:color w:val="555555"/>
          <w:sz w:val="17"/>
        </w:rPr>
        <w:t xml:space="preserve">Zitiervorschlag: § 165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