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der zu dem in § 160 Abs. 1 und 2 bezeichneten Personenkreis gehört und bei Inkrafttreten dieses Gesetzes Staatsangehöriger eines Staates ist, der von der Bundesrepublik Deutschland Ersatz für Eingliederungskosten erhält, hat nur Anspruch auf Entschädigung für Schaden an Freiheit.</w:t>
      </w:r>
    </w:p>
    <w:p>
      <w:r>
        <w:t xml:space="preserve">(2) Der Hinterbliebene, der zu dem in § 160 Abs. 3 bezeichneten Personenkreis gehört und bei Inkrafttreten dieses Gesetzes Staatsangehöriger eines Staates ist, der von der Bundesrepublik Deutschland Ersatz für Eingliederungskosten erhält, hat Anspruch auf Entschädigung für Schaden an Leben nach Maßgabe des § 163.</w:t>
      </w:r>
    </w:p>
    <w:p>
      <w:r>
        <w:rPr>
          <w:color w:val="555555"/>
          <w:sz w:val="17"/>
        </w:rPr>
        <w:t xml:space="preserve">Zitiervorschlag: § 164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