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der bei Inkrafttreten dieses Gesetzes Staatenloser oder Flüchtling im Sinne der Genfer Konvention vom 28. Juli 1951 ist und von keinem Staat oder keiner zwischenstaatlichen Organisation wegen des erlittenen Schadens durch Zuwendungen laufend betreut wird oder durch Kapitalabfindung betreut worden ist, hat Anspruch auf Entschädigung für Schaden an Körper oder Gesundheit und für Schaden an Freiheit.</w:t>
      </w:r>
    </w:p>
    <w:p>
      <w:r>
        <w:t xml:space="preserve">(2) Der Anspruch nach Absatz 1 steht auch dem Verfolgten zu, der als Staatenloser oder Flüchtling im Sinne der Genfer Konvention nach Beendigung der Verfolgung eine neue Staatsangehörigkeit erworben hat.</w:t>
      </w:r>
    </w:p>
    <w:p>
      <w:r>
        <w:t xml:space="preserve">(3) Der Hinterbliebene eines Verfolgten, der zu dem in Absatz 1 und 2 bezeichneten Personenkreis gehörte, hat Anspruch auf Entschädigung für Schaden an Leben. Der Anspruch besteht auch dann, wenn der Hinterbliebene zu dem in Absatz 1 und 2 bezeichneten Personenkreis gehört.</w:t>
      </w:r>
    </w:p>
    <w:p>
      <w:r>
        <w:t xml:space="preserve">(4) Soweit Ansprüche nach §§ 150 bis 159a bestehen, verbleibt es bei dieser Regelung.</w:t>
      </w:r>
    </w:p>
    <w:p>
      <w:r>
        <w:rPr>
          <w:color w:val="555555"/>
          <w:sz w:val="17"/>
        </w:rPr>
        <w:t xml:space="preserve">Zitiervorschlag: § 160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