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Entschädigung werden geleistet</w:t>
      </w:r>
    </w:p>
    <w:p>
      <w:pPr>
        <w:ind w:left="420"/>
      </w:pPr>
      <w:r>
        <w:t xml:space="preserve">1. Rente,</w:t>
      </w:r>
    </w:p>
    <w:p>
      <w:pPr>
        <w:ind w:left="420"/>
      </w:pPr>
      <w:r>
        <w:t xml:space="preserve">2. Abfindung im Falle der Wiederverheiratung,</w:t>
      </w:r>
    </w:p>
    <w:p>
      <w:pPr>
        <w:ind w:left="420"/>
      </w:pPr>
      <w:r>
        <w:t xml:space="preserve">3. Kapitalentschädigung.</w:t>
      </w:r>
    </w:p>
    <w:p>
      <w:r>
        <w:rPr>
          <w:color w:val="555555"/>
          <w:sz w:val="17"/>
        </w:rPr>
        <w:t xml:space="preserve">Zitiervorschlag: § 16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