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Vererblichkeit und Übertragbarkeit des Anspruchs auf Entschädigung nach §§ 154 bis 157a findet § 140 Abs. 1 bis 4 entsprechende Anwendung.</w:t>
      </w:r>
    </w:p>
    <w:p>
      <w:r>
        <w:rPr>
          <w:color w:val="555555"/>
          <w:sz w:val="17"/>
        </w:rPr>
        <w:t xml:space="preserve">Zitiervorschlag: § 158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