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156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Der Verfolgte kann an Stelle der Kapitalentschädigung eine Rente wählen. Voraussetzung für das Wahlrecht ist, daß der Verfolgte im Zeitpunkt der Entscheidung das 65. Lebensjahr vollendet hat oder in seinem Beruf nicht mehr als 50 vom Hundert arbeitsfähig ist; bei Frauen tritt an Stelle des 65. das 60. Lebensjahr.</w:t>
      </w:r>
    </w:p>
    <w:p>
      <w:r>
        <w:t xml:space="preserve">(2) §§ 84 und 84a finden entsprechende Anwendung.</w:t>
      </w:r>
    </w:p>
    <w:p>
      <w:r>
        <w:t xml:space="preserve">(3) Der Monatsbetrag der Rente beträgt 200 Deutsche Mark, ab 1. Januar 1961 250 Deutsche Mark.</w:t>
      </w:r>
    </w:p>
    <w:p>
      <w:r>
        <w:rPr>
          <w:color w:val="555555"/>
          <w:sz w:val="17"/>
        </w:rPr>
        <w:t xml:space="preserve">Zitiervorschlag: § 156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https://recht.nulegal.eu/gesetze/BEG/156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