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 für Schaden im beruflichen Fortkommen wird nach Maßgabe der §§ 64 bis 66, 87, 88, 110, 112, 114, 114a geleistet. Im Falle des § 110 wird eine Entschädigung geleistet, wenn der Verfolgte keinen Anspruch auf laufende Bezüge nach § 21a des Gesetzes zur Regelung der Wiedergutmachung nationalsozialistischen Unrechts für Angehörige des öffentlichen Dienstes hat.</w:t>
      </w:r>
    </w:p>
    <w:p>
      <w:r>
        <w:t xml:space="preserve">(2) Voraussetzung für den Anspruch nach Absatz 1 ist, daß der Verfolgte vor dem 1. August 1945 die in § 1 Abs. 2 Nr. 3 des Bundesvertriebenengesetzes genannten Gebiete endgültig verlassen hat.</w:t>
      </w:r>
    </w:p>
    <w:p>
      <w:r>
        <w:t xml:space="preserve">(3) Die Entschädigung besteht in einer Kapitalentschädigung oder in einer Rente.</w:t>
      </w:r>
    </w:p>
    <w:p>
      <w:r>
        <w:rPr>
          <w:color w:val="555555"/>
          <w:sz w:val="17"/>
        </w:rPr>
        <w:t xml:space="preserve">Zitiervorschlag: § 154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