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152 BEG</w:t>
      </w:r>
    </w:p>
    <w:p>
      <w:r>
        <w:rPr>
          <w:color w:val="555555"/>
          <w:sz w:val="18"/>
        </w:rPr>
        <w:t xml:space="preserve">Bundesentschädigungsgesetz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Entschädigung für Schaden an Freiheit wird nach Maßgabe der §§ 43 bis 50 geleistet.</w:t>
      </w:r>
    </w:p>
    <w:p>
      <w:r>
        <w:rPr>
          <w:color w:val="555555"/>
          <w:sz w:val="17"/>
        </w:rPr>
        <w:t xml:space="preserve">Zitiervorschlag: § 152 BEG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https://recht.nulegal.eu/gesetze/BEG/152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