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150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Verfolgte aus den Vertreibungsgebieten, der dem deutschen Sprach- und Kulturkreis angehört hat, hat Anspruch auf Entschädigung für Schaden an Körper oder Gesundheit, für Schaden an Freiheit, für Schaden durch Zahlung von Sonderabgaben und für Schaden im beruflichen Fortkommen.</w:t>
      </w:r>
    </w:p>
    <w:p>
      <w:r>
        <w:t xml:space="preserve">(2) Anspruch nach Absatz 1 besteht, wenn der Verfolgte die in § 1 Abs. 2 Nr. 3 des Bundesvertriebenengesetzes genannten Gebiete bei Inkrafttreten dieses Gesetzes endgültig verlassen hat.</w:t>
      </w:r>
    </w:p>
    <w:p>
      <w:r>
        <w:t xml:space="preserve">(3) Absätze 1 und 2 gelten sinngemäß für den Ehegatten des Verfolgten, sofern die Ehe vor dem Verlassen der in Absatz 2 genannten Gebiete geschlossen worden ist.</w:t>
      </w:r>
    </w:p>
    <w:p>
      <w:r>
        <w:t xml:space="preserve">(4) Der Hinterbliebene eines Verfolgten, der zu dem in den Absätzen 1 und 2 bezeichneten Personenkreis gehört, hat Anspruch auf Entschädigung für Schaden an Leben. Der Anspruch besteht auch dann, wenn der Hinterbliebene zu dem in den Absätzen 1 und 2 bezeichneten Personenkreis gehört.</w:t>
      </w:r>
    </w:p>
    <w:p>
      <w:r>
        <w:rPr>
          <w:color w:val="555555"/>
          <w:sz w:val="17"/>
        </w:rPr>
        <w:t xml:space="preserve">Zitiervorschlag: § 150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