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Anspruch auf Entschädigung für Schaden an Leben besteht, wenn der Verfolgte getötet oder in den Tod getrieben worden und sein Tod während der Verfolgung oder innerhalb von acht Monaten nach Abschluß der Verfolgung, die seinen Tod verursacht hat, eingetreten ist. Es genügt, daß der ursächliche Zusammenhang zwischen Tod und Verfolgung wahrscheinlich ist.</w:t>
      </w:r>
    </w:p>
    <w:p>
      <w:r>
        <w:t xml:space="preserve">(2) Ist der Verfolgte während der Deportation oder während einer Freiheitsentziehung im Sinne dieses Gesetzes oder innerhalb von acht Monaten nach Beendigung der Deportation oder der Freiheitsentziehung verstorben, so wird vermutet, daß die in Absatz 1 Satz 1 für den Anspruch genannten Voraussetzungen vorliegen.</w:t>
      </w:r>
    </w:p>
    <w:p>
      <w:r>
        <w:rPr>
          <w:color w:val="555555"/>
          <w:sz w:val="17"/>
        </w:rPr>
        <w:t xml:space="preserve">Zitiervorschlag: § 15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