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149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Erfüllen Verfolgte aus den Vertreibungsgebieten sowie verfolgte Staatenlose und Flüchtlinge im Sinne der Genfer Konvention und die Hinterbliebenen solcher Verfolgten die Voraussetzungen des § 4 nicht, so haben sie einen nach Art und Umfang beschränkten Anspruch auf Entschädigung.</w:t>
      </w:r>
    </w:p>
    <w:p>
      <w:r>
        <w:rPr>
          <w:color w:val="555555"/>
          <w:sz w:val="17"/>
        </w:rPr>
        <w:t xml:space="preserve">Zitiervorschlag: § 149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