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Höchstbeträge des § 55 Abs. 1 und des § 58 gelten auch für die Ansprüche einer juristischen Person, Anstalt oder Personenvereinigung oder deren Rechts- oder Zwecknachfolger.</w:t>
      </w:r>
    </w:p>
    <w:p>
      <w:r>
        <w:t xml:space="preserve">(2) Zugunsten von verfolgten Religionsgesellschaften und ihren Einrichtungen oder deren Rechts- oder Zwecknachfolger gelten die Höchstbeträge des § 55 Abs. 1 und des § 58 für jeden einzelnen Vermögensgegenstand, für den ein Anspruch auf Entschädigung wegen Schadens an Eigentum oder wegen Schadens an Vermögen besteht. Im Falle des § 146 Abs. 2 gilt der Höchstbetrag des § 58 für den Gesamtschaden, der dem einzelnen Rechtsträger entstanden ist.</w:t>
      </w:r>
    </w:p>
    <w:p>
      <w:r>
        <w:t xml:space="preserve">(3) Der Höchstbetrag kann überschritten werden, soweit dies zur Erfüllung der Aufgaben der Religionsgesellschaften oder ihrer Einrichtungen oder deren Rechts- oder Zwecknachfolger im Geltungsbereich dieses Gesetzes erforderlich ist. Daß die Voraussetzungen für eine Überschreitung des Höchstbetrages vorliegen, ist von den Religionsgesellschaften oder ihren Einrichtungen oder deren Rechts- oder Zwecknachfolger geltend zu machen; der den Höchstbetrag überschreitende Betrag ist an die Religionsgesellschaften oder ihre Einrichtungen oder deren Rechts- oder Zwecknachfolger zu leisten. § 142 Abs. 2 Satz 2 findet keine Anwendung.</w:t>
      </w:r>
    </w:p>
    <w:p>
      <w:r>
        <w:t xml:space="preserve">(4) § 55 Abs. 2 findet entsprechende Anwendung.</w:t>
      </w:r>
    </w:p>
    <w:p>
      <w:r>
        <w:rPr>
          <w:color w:val="555555"/>
          <w:sz w:val="17"/>
        </w:rPr>
        <w:t xml:space="preserve">Zitiervorschlag: § 148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