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juristische Person, Anstalt oder Personenvereinigung ist von der Entschädigung ausgeschlossen, wenn sie nach ihrer Verfassung, Zweckbestimmung, Zusammensetzung, organisatorischen Stellung oder tatsächlichen Betätigung</w:t>
      </w:r>
    </w:p>
    <w:p>
      <w:pPr>
        <w:ind w:left="420"/>
      </w:pPr>
      <w:r>
        <w:t xml:space="preserve">1. der nationalsozialistischen Gewaltherrschaft Vorschub geleistet hat;</w:t>
      </w:r>
    </w:p>
    <w:p>
      <w:pPr>
        <w:ind w:left="420"/>
      </w:pPr>
      <w:r>
        <w:t xml:space="preserve">2. nach dem 23. Mai 1949 die freiheitliche demokratische Grundordnung im Sinne des Grundgesetzes bekämpft hat.</w:t>
      </w:r>
    </w:p>
    <w:p>
      <w:r>
        <w:t xml:space="preserve">(2) Der Anspruch auf Entschädigung ist verwirkt, wenn nach Festsetzung oder rechtskräftiger gerichtlicher Entscheidung der Ausschließungsgrund des Absatzes 1 Nr. 2 eintritt. Die nach Eintritt des Verwirkungsgrundes bewirkten Leistungen können zurückgefordert werden.</w:t>
      </w:r>
    </w:p>
    <w:p>
      <w:r>
        <w:t xml:space="preserve">(3) Absätze 1 und 2 finden auf den Rechts- oder Zwecknachfolger einer juristischen Person, Anstalt oder Personenvereinigung Anwendung.</w:t>
      </w:r>
    </w:p>
    <w:p>
      <w:r>
        <w:rPr>
          <w:color w:val="555555"/>
          <w:sz w:val="17"/>
        </w:rPr>
        <w:t xml:space="preserve">Zitiervorschlag: § 145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