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142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Eine juristische Person, Anstalt oder Personenvereinigung (nichtrechtsfähiger Verein, nichtrechtsfähige Handelsgesellschaft) hat Anspruch auf Entschädigung, wenn sie durch nationalsozialistische Gewaltmaßnahmen geschädigt worden ist.</w:t>
      </w:r>
    </w:p>
    <w:p>
      <w:r>
        <w:t xml:space="preserve">(2) Besteht eine der in Absatz 1 genannten juristischen Personen, Anstalten oder Personenvereinigungen nicht mehr und hat sie auch keinen Rechtsnachfolger, so kann der Anspruch auf Entschädigung von derjenigen juristischen Person, Anstalt oder Personenvereinigung geltend gemacht werden, die nach ihrer Verfassung, Zweckbestimmung, Zusammensetzung oder organisatorischen Stellung und nach ihrer tatsächlichen Betätigung als Zwecknachfolger anzusehen ist. Rechtsnachfolger im Sinne des Satzes 1 ist für Ansprüche nach § 51 auch eine auf Grund rückerstattungsrechtlicher Vorschriften errichtete Nachfolgeorganisation.</w:t>
      </w:r>
    </w:p>
    <w:p>
      <w:r>
        <w:rPr>
          <w:color w:val="555555"/>
          <w:sz w:val="17"/>
        </w:rPr>
        <w:t xml:space="preserve">Zitiervorschlag: § 142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