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137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Entschädigung nach §§ 134 bis 136 darf für den einzelnen Verfolgten und für seine Hinterbliebenen insgesamt 25.000 Deutsche Mark nicht übersteigen.</w:t>
      </w:r>
    </w:p>
    <w:p>
      <w:r>
        <w:t xml:space="preserve">(2) Der Kapitalwert der Rente ist unter entsprechender Anwendung des Bewertungsgesetzes zu errechnen.</w:t>
      </w:r>
    </w:p>
    <w:p>
      <w:r>
        <w:rPr>
          <w:color w:val="555555"/>
          <w:sz w:val="17"/>
        </w:rPr>
        <w:t xml:space="preserve">Zitiervorschlag: § 137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