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135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Anspruch auf Entschädigung entfällt,</w:t>
      </w:r>
    </w:p>
    <w:p>
      <w:pPr>
        <w:ind w:left="420"/>
      </w:pPr>
      <w:r>
        <w:t xml:space="preserve">1. soweit der Berechtigte von dem Versorgungspflichtigen oder dessen Rechtsnachfolger wieder Versorgungsleistungen erhält;</w:t>
      </w:r>
    </w:p>
    <w:p>
      <w:pPr>
        <w:ind w:left="420"/>
      </w:pPr>
      <w:r>
        <w:t xml:space="preserve">2. soweit durch rechtskräftige gerichtliche Entscheidung oder wenn durch Vergleich festgestellt ist, daß der Versorgungspflichtige oder dessen Rechtsnachfolger zu Versorgungsleistungen an den Berechtigten verpflichtet ist;</w:t>
      </w:r>
    </w:p>
    <w:p>
      <w:pPr>
        <w:ind w:left="420"/>
      </w:pPr>
      <w:r>
        <w:t xml:space="preserve">3. wenn der Berechtigte nach dem 8. Mai 1945 gegenüber dem Versorgungspflichtigen oder dessen Rechtsnachfolger auf die Versorgungsleistungen verzichtet hat oder für diese Leistungen abgefunden worden ist;</w:t>
      </w:r>
    </w:p>
    <w:p>
      <w:pPr>
        <w:ind w:left="420"/>
      </w:pPr>
      <w:r>
        <w:t xml:space="preserve">4. soweit der Berechtigte auf Grund eines nach der Schädigung begründeten Dienst- oder Arbeitsverhältnisses Versorgungsleistungen erhält.</w:t>
      </w:r>
    </w:p>
    <w:p>
      <w:r>
        <w:t xml:space="preserve">(2) Der Anspruch entfällt auch dann, wenn der Verfolgte in seiner selbständigen und unselbständigen Erwerbstätigkeit geschädigt worden ist, aber als selbständig Erwerbstätiger entschädigt wird; das gleiche gilt für die Hinterbliebenen eines solchen Verfolgten.</w:t>
      </w:r>
    </w:p>
    <w:p>
      <w:r>
        <w:rPr>
          <w:color w:val="555555"/>
          <w:sz w:val="17"/>
        </w:rPr>
        <w:t xml:space="preserve">Zitiervorschlag: § 135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