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Kapitalentschädigung für Schaden im beruflichen Fortkommen darf für den einzelnen Verfolgten insgesamt den Betrag von 40.000 Deutsche Mark nicht übersteigen.</w:t>
      </w:r>
    </w:p>
    <w:p>
      <w:r>
        <w:t xml:space="preserve">(2) Die Beihilfe und die Entschädigung für Schaden in der Ausbildung sowie die Entschädigung nach § 19 des Gesetzes zur Regelung der Wiedergutmachung nationalsozialistischen Unrechts für Angehörige des öffentlichen Dienstes sind in den Höchstbetrag einzurechnen.</w:t>
      </w:r>
    </w:p>
    <w:p>
      <w:r>
        <w:rPr>
          <w:color w:val="555555"/>
          <w:sz w:val="17"/>
        </w:rPr>
        <w:t xml:space="preserve">Zitiervorschlag: § 123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