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115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Schaden im beruflichen Fortkommen im Sinne von § 65 gilt auch der Schaden, den der Verfolgte in seiner Berufsausbildung oder in seiner vorberuflichen Ausbildung durch Ausschluß von der erstrebten Ausbildung oder durch deren erzwungene Unterbrechung erlitten hat.</w:t>
      </w:r>
    </w:p>
    <w:p>
      <w:r>
        <w:t xml:space="preserve">(2) § 67 Abs. 1, 3 und 4 gilt sinngemäß.</w:t>
      </w:r>
    </w:p>
    <w:p>
      <w:r>
        <w:rPr>
          <w:color w:val="555555"/>
          <w:sz w:val="17"/>
        </w:rPr>
        <w:t xml:space="preserve">Zitiervorschlag: § 115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