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Geldansprüche für die Zeit vor dem 1. Juli 1948 werden in Reichsmark berechnet und im Verhältnis 10:2 in Deutsche Mark umgerechnet.</w:t>
      </w:r>
    </w:p>
    <w:p>
      <w:r>
        <w:t xml:space="preserve">(2) Das Umrechnungsverhältnis 10:2 gilt auch für die nach § 10 anzurechnenden Leistungen, sofern diese in Reichsmark bewirkt worden sind, und für Reichsmarkbeträge, die nach anderen Vorschriften dieses Gesetzes auf die Entschädigung anzurechnen sind.</w:t>
      </w:r>
    </w:p>
    <w:p>
      <w:r>
        <w:rPr>
          <w:color w:val="555555"/>
          <w:sz w:val="17"/>
        </w:rPr>
        <w:t xml:space="preserve">Zitiervorschlag: § 11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