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§§ 102 bis 107 finden auf Berufssoldaten der früheren Wehrmacht sowie ihre Hinterbliebenen entsprechende Anwendung.</w:t>
      </w:r>
    </w:p>
    <w:p>
      <w:r>
        <w:t xml:space="preserve">(2) Für die Bemessung der ruhegehaltfähigen Dienstbezüge nach den Besoldungsordnungen A und B ist die zu § 20 Abs. 1 des Gesetzes zur Regelung der Wiedergutmachung nationalsozialistischen Unrechts für Angehörige des öffentlichen Dienstes als Anlage beigefügte Tabelle maßgebend. Die Festsetzung des Besoldungsdienstalters in den Besoldungsgruppen der Besoldungsordnung A bestimmt sich, insbesondere für die Frage, welche Bezüge als ruhegehaltfähige Dienstbezüge zu gelten haben, nach den für Beamte geltenden Vorschriften des Reichsbesoldungsgesetzes gemäß der Verordnung zur Durchführung des § 20 des Gesetzes zur Regelung der Wiedergutmachung nationalsozialistischen Unrechts für Angehörige des öffentlichen Dienstes.</w:t>
      </w:r>
    </w:p>
    <w:p>
      <w:r>
        <w:t xml:space="preserve">(3) Zur früheren Wehrmacht gehören die Wehrmacht im Sinne des Wehrgesetzes vom 21. Mai 1935 (Reichsgesetzbl. I S. 609), die Reichswehr und die alte Wehrmacht (Heer, Marine, Schutztruppe).</w:t>
      </w:r>
    </w:p>
    <w:p>
      <w:r>
        <w:rPr>
          <w:color w:val="555555"/>
          <w:sz w:val="17"/>
        </w:rPr>
        <w:t xml:space="preserve">Zitiervorschlag: § 108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