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Auf die Kapitalentschädigung nach §§ 102 bis 106 sind für den gleichen Zeitraum gewährte Versorgungsbezüge, Kapitalabfindungen, Unterhaltsbeiträge, Zuwendungen und ähnliche Leistungen aus deutschen öffentlichen Mitteln mit Ausnahme von Leistungen aus der Arbeitslosenversicherung und der Arbeitslosenfürsorge in vollem Umfange anzurechnen. Bezüge, die bei der Bemessung der Kapitalentschädigung bereits berücksichtigt sind (§ 102 Abs. 1 Nr. 2, §§ 103, 104) bleiben bei der Anrechnung außer Betracht.</w:t>
      </w:r>
    </w:p>
    <w:p>
      <w:r>
        <w:t xml:space="preserve">(2) Ein Berechtigter, der durch anderweitige Verwertung seiner Arbeitskraft ein Einkommen erzielt hat, erhält die Kapitalentschädigung insoweit, als diese zusammen mit dem Einkommen und den in Absatz 1 genannten Leistungen</w:t>
      </w:r>
    </w:p>
    <w:p>
      <w:pPr>
        <w:ind w:left="420"/>
      </w:pPr>
      <w:r>
        <w:t xml:space="preserve">1. bei einem entlassenen, vorzeitig in den Ruhestand oder in den Wartestand versetzten Beamten das Diensteinkommen, das der Beamte bei Belassung im Dienst in regelmäßiger Dienstlaufbahn erreicht hätte,</w:t>
      </w:r>
    </w:p>
    <w:p>
      <w:pPr>
        <w:ind w:left="420"/>
      </w:pPr>
      <w:r>
        <w:t xml:space="preserve">2. bei einem Ruhe- oder Wartestandsbeamten die dem Ruhegehalt oder Wartegeld zugrunde liegenden ruhegehaltfähigen Dienstbezüge,</w:t>
      </w:r>
    </w:p>
    <w:p>
      <w:pPr>
        <w:ind w:left="420"/>
      </w:pPr>
      <w:r>
        <w:t xml:space="preserve">3. bei einer Witwe 75 vom Hundert der Dienstbezüge nach Nummer 2,</w:t>
      </w:r>
    </w:p>
    <w:p>
      <w:pPr>
        <w:ind w:left="420"/>
      </w:pPr>
      <w:r>
        <w:t xml:space="preserve">4. bei einer Waise 40 vom Hundert der Dienstbezüge nach Nummer 2</w:t>
      </w:r>
    </w:p>
    <w:p>
      <w:r>
        <w:t xml:space="preserve">nicht übersteigt. Dabei ist Einkommen, das vor dem 1. Juli 1948 erzielt worden ist, nicht zu berücksichtigen.</w:t>
      </w:r>
    </w:p>
    <w:p>
      <w:r>
        <w:rPr>
          <w:color w:val="555555"/>
          <w:sz w:val="17"/>
        </w:rPr>
        <w:t xml:space="preserve">Zitiervorschlag: § 107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