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Bemessung der Entschädigung nach §§ 102 bis 105 sind die Vorschriften des für die Bundesbeamten am 1. April 1951 geltenden Besoldungs- und Versorgungsrechts anzuwenden. Dabei sind die Dienstbezüge, soweit sie ruhegehaltfähig wären, und die Kinderzuschläge zugrunde zu legen.</w:t>
      </w:r>
    </w:p>
    <w:p>
      <w:r>
        <w:rPr>
          <w:color w:val="555555"/>
          <w:sz w:val="17"/>
        </w:rPr>
        <w:t xml:space="preserve">Zitiervorschlag: § 106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