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Auf die Entschädigung sind aus deutschen öffentlichen Mitteln gewährte Leistungen anzurechnen, die im Zuge der Entschädigung für Opfer der nationalsozialistischen Verfolgung bewirkt worden sind. Dabei sollen Leistungen, die für einen bestimmten Zeitraum oder für einen bestimmten Schadenstatbestand bewirkt worden sind oder bewirkt werden, nur auf die Entschädigung für diesen Zeitraum oder für diesen Tatbestand angerechnet werden.</w:t>
      </w:r>
    </w:p>
    <w:p>
      <w:r>
        <w:t xml:space="preserve">(2) Leistungen, die nach dem Gesetz zur allgemeinen Regelung durch den Krieg und den Zusammenbruch des Deutschen Reiches entstandener Schäden (Allgemeines Kriegsfolgengesetz) für einen bestimmten Schadenstatbestand und einen bestimmten Zeitraum bewirkt worden sind, werden auf die Entschädigung für diesen Tatbestand und diesen Zeitraum angerechnet.</w:t>
      </w:r>
    </w:p>
    <w:p>
      <w:r>
        <w:t xml:space="preserve">(3) Stehen dem Berechtigten mehrere Ansprüche zu, die zu verschiedener Zeit befriedigt werden, so ist von der Anrechnung auf Leistungen, die zum laufenden Lebensunterhalt oder zum Aufbau einer ausreichenden Lebensgrundlage erforderlich sind, insoweit abzusehen, als die Anrechnung auf spätere Leistungen gewährleistet ist.</w:t>
      </w:r>
    </w:p>
    <w:p>
      <w:r>
        <w:t xml:space="preserve">(4) Fürsorge- und Sozialhilfeleistungen sind nicht anzurechnen.</w:t>
      </w:r>
    </w:p>
    <w:p>
      <w:r>
        <w:t xml:space="preserve">(5) Soweit der Verfolgte für die Zeit vor dem 1. November 1953 Leistungen aus der Arbeitslosenfürsorge erhalten hat, ist die Überleitung des Anspruchs auf Entschädigung auf den Bund ausgeschlossen.</w:t>
      </w:r>
    </w:p>
    <w:p>
      <w:r>
        <w:rPr>
          <w:color w:val="555555"/>
          <w:sz w:val="17"/>
        </w:rPr>
        <w:t xml:space="preserve">Zitiervorschlag: § 10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