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(XXXX)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In Anerkennung der Tatsache, daß Personen, die aus Gründen politischer Gegnerschaft gegen den Nationalsozialismus oder aus Gründen der Rasse, des Glaubens oder der Weltanschauung unter der nationalsozialistischen Gewaltherrschaft verfolgt worden sind, Unrecht geschehen ist, daß der aus Überzeugung oder um des Glaubens oder des Gewissens willen gegen die nationalsozialistische Gewaltherrschaft geleistete Widerstand ein Verdienst um das Wohl des Deutschen Volkes und Staates war und daß auch demokratische, religiöse und wirtschaftliche Organisationen durch die nationalsozialistische Gewaltherrschaft rechtswidrig geschädigt worden sind, hat der Bundestag mit Zustimmung des Bundesrates das nachstehende Gesetz beschlossen:</w:t>
      </w:r>
    </w:p>
    <w:p>
      <w:r>
        <w:rPr>
          <w:color w:val="555555"/>
          <w:sz w:val="17"/>
        </w:rPr>
        <w:t xml:space="preserve">Zitiervorschlag: (XXXX)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https://recht.nulegal.eu/gesetze/BEG/(xxxx)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