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BEG§172DV 65</w:t>
      </w:r>
    </w:p>
    <w:p>
      <w:r>
        <w:rPr>
          <w:color w:val="555555"/>
          <w:sz w:val="18"/>
        </w:rPr>
        <w:t xml:space="preserve">Fünfundsechzigste Verordnung zur Durchführung des § 172 des Bundesentschädigungsgesetzes</w:t>
      </w:r>
    </w:p>
    <w:p>
      <w:r>
        <w:rPr>
          <w:color w:val="555555"/>
          <w:sz w:val="18"/>
        </w:rPr>
        <w:t xml:space="preserve">Stand: 23.11.2023 (konsolidierte Textfassung, kein amtliches Inkrafttretensdatum)</w:t>
      </w:r>
    </w:p>
    <w:p>
      <w:r>
        <w:t xml:space="preserve">Auf Grund des § 172 Absatz 4 des Bundesentschädigungsgesetzes, der durch Artikel 84 Nummer 1 der Verordnung vom 29. Oktober 2001 (BGBl. I S. 2785) geändert worden ist, in Verbindung mit Artikel V Nummer 5 Absatz 1 des BEG-Schlussgesetzes vom 14. September 1965 (BGBl. I S. 1315) verordnet das Bundesministerium der Finanzen:</w:t>
      </w:r>
    </w:p>
    <w:p>
      <w:r>
        <w:rPr>
          <w:color w:val="555555"/>
          <w:sz w:val="17"/>
        </w:rPr>
        <w:t xml:space="preserve">Zitiervorschlag: Eingangsformel BEG§172DV 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https://recht.nulegal.eu/gesetze/BEG%C2%A7172DV%2065/eingangsformel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