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BEG NRW (Nordrhein-Westfalen)</w:t>
      </w:r>
    </w:p>
    <w:p>
      <w:r>
        <w:rPr>
          <w:color w:val="555555"/>
          <w:sz w:val="18"/>
        </w:rPr>
        <w:t xml:space="preserve">Beitreibungserleichterungsgesetz/Kfz-Zulassung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 nach der Verkündung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Der Minister</w:t>
      </w:r>
    </w:p>
    <w:p>
      <w:r>
        <w:t xml:space="preserve">für Bauen und Verkehr</w:t>
      </w:r>
    </w:p>
    <w:p>
      <w:r>
        <w:rPr>
          <w:color w:val="555555"/>
          <w:sz w:val="17"/>
        </w:rPr>
        <w:t xml:space="preserve">Zitiervorschlag: § 4 BEG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https://recht.nulegal.eu/gesetze/BEG%20NRW/4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