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BEEGZV (Brandenburg)</w:t>
      </w:r>
    </w:p>
    <w:p>
      <w:r>
        <w:rPr>
          <w:color w:val="555555"/>
          <w:sz w:val="18"/>
        </w:rPr>
        <w:t xml:space="preserve">Verordnung über die Zuständigkeiten zur Durchführung des Bundeselterngeld- und Elternzeitgesetzes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5. Januar 2007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Die Ministerin für Arbeit,</w:t>
      </w:r>
    </w:p>
    <w:p>
      <w:r>
        <w:t xml:space="preserve">Soziales, Gesundheit und Familie</w:t>
      </w:r>
    </w:p>
    <w:p>
      <w:r>
        <w:t xml:space="preserve">Dagmar Ziegler</w:t>
      </w:r>
    </w:p>
    <w:p>
      <w:r>
        <w:rPr>
          <w:color w:val="555555"/>
          <w:sz w:val="17"/>
        </w:rPr>
        <w:t xml:space="preserve">Zitiervorschlag: § 2 BEEGZV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