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BEEG — Einkommens- und Arbeitszeitnachweis, Auskunftspflicht des Arbeitgebers</w:t>
      </w:r>
    </w:p>
    <w:p>
      <w:r>
        <w:rPr>
          <w:color w:val="555555"/>
          <w:sz w:val="18"/>
        </w:rPr>
        <w:t xml:space="preserve">Bundeselterngeld- und Elternzeitgesetz</w:t>
      </w:r>
    </w:p>
    <w:p>
      <w:r>
        <w:rPr>
          <w:color w:val="555555"/>
          <w:sz w:val="18"/>
        </w:rPr>
        <w:t xml:space="preserve">Stand: 11.12.2020 (konsolidierte Textfassung, kein amtliches Inkrafttretensdatum)</w:t>
      </w:r>
    </w:p>
    <w:p>
      <w:r>
        <w:t xml:space="preserve">(1) Soweit es zum Nachweis des Einkommens aus Erwerbstätigkeit oder der wöchentlichen Arbeitszeit erforderlich ist, hat der Arbeitgeber der nach § 12 zuständigen Behörde für bei ihm Beschäftigte das Arbeitsentgelt, die für die Ermittlung der nach den §§ 2e und 2f erforderlichen Abzugsmerkmale für Steuern und Sozialabgaben sowie die Arbeitszeit auf Verlangen zu bescheinigen; das Gleiche gilt für ehemalige Arbeitgeber. Für die in Heimarbeit Beschäftigten und die ihnen Gleichgestellten (§ 1 Absatz 1 und 2 des Heimarbeitsgesetzes) tritt an die Stelle des Arbeitgebers der Auftraggeber oder Zwischenmeister.</w:t>
      </w:r>
    </w:p>
    <w:p>
      <w:r>
        <w:t xml:space="preserve">(2) Für den Nachweis des Einkommens aus Erwerbstätigkeit kann die nach § 12 Absatz 1 zuständige Behörde auch das in § 108a Absatz 1 des Vierten Buches Sozialgesetzbuch vorgesehene Verfahren zur elektronischen Abfrage und Übermittlung von Entgeltbescheinigungsdaten nutzen. Sie darf dieses Verfahren nur nutzen, wenn die betroffene Arbeitnehmerin oder der betroffene Arbeitnehmer zuvor in dessen Nutzung eingewilligt hat. Wenn der betroffene Arbeitgeber ein systemgeprüftes Entgeltabrechnungsprogramm nutzt, ist er verpflichtet, die jeweiligen Entgeltbescheinigungsdaten mit dem in § 108a Absatz 1 des Vierten Buches Sozialgesetzbuch vorgesehenen Verfahren zu übermitteln.</w:t>
      </w:r>
    </w:p>
    <w:p>
      <w:r>
        <w:rPr>
          <w:color w:val="555555"/>
          <w:sz w:val="17"/>
        </w:rPr>
        <w:t xml:space="preserve">Zitiervorschlag: § 9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