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2d BEEG — Einkommen aus selbstständiger Erwerbstätigkeit</w:t>
      </w:r>
    </w:p>
    <w:p>
      <w:r>
        <w:rPr>
          <w:color w:val="555555"/>
          <w:sz w:val="18"/>
        </w:rPr>
        <w:t xml:space="preserve">Bundeselterngeld- und Elternzeitgesetz</w:t>
      </w:r>
    </w:p>
    <w:p>
      <w:r>
        <w:rPr>
          <w:color w:val="555555"/>
          <w:sz w:val="18"/>
        </w:rPr>
        <w:t xml:space="preserve">Stand: 30.05.2020 (konsolidierte Textfassung, kein amtliches Inkrafttretensdatum)</w:t>
      </w:r>
    </w:p>
    <w:p>
      <w:r>
        <w:t xml:space="preserve">(1) Die monatlich durchschnittlich zu berücksichtigende Summe der positiven Einkünfte aus Land- und Forstwirtschaft, Gewerbebetrieb und selbstständiger Arbeit (Gewinneinkünfte), vermindert um die Abzüge für Steuern und Sozialabgaben nach den §§ 2e und 2f, ergibt das Einkommen aus selbstständiger Erwerbstätigkeit.</w:t>
      </w:r>
    </w:p>
    <w:p>
      <w:r>
        <w:t xml:space="preserve">(2) Bei der Ermittlung der im Bemessungszeitraum zu berücksichtigenden Gewinneinkünfte sind die entsprechenden im Einkommensteuerbescheid ausgewiesenen Gewinne anzusetzen. Ist kein Einkommensteuerbescheid zu erstellen, werden die Gewinneinkünfte in entsprechender Anwendung des Absatzes 3 ermittelt.</w:t>
      </w:r>
    </w:p>
    <w:p>
      <w:r>
        <w:t xml:space="preserve">(3) Grundlage der Ermittlung der in den Bezugsmonaten zu berücksichtigenden Gewinneinkünfte ist eine Gewinnermittlung, die mindestens den Anforderungen des § 4 Absatz 3 des Einkommensteuergesetzes entspricht. Als Betriebsausgaben sind 25 Prozent der zugrunde gelegten Einnahmen oder auf Antrag die damit zusammenhängenden tatsächlichen Betriebsausgaben anzusetzen.</w:t>
      </w:r>
    </w:p>
    <w:p>
      <w:r>
        <w:t xml:space="preserve">(4) Soweit nicht in § 2c Absatz 3 etwas anderes bestimmt ist, sind bei der Ermittlung der nach § 2e erforderlichen Abzugsmerkmale für Steuern die Angaben im Einkommensteuerbescheid maßgeblich. § 2c Absatz 3 Satz 2 gilt entsprechend.</w:t>
      </w:r>
    </w:p>
    <w:p>
      <w:r>
        <w:t xml:space="preserve">(5) Die zeitliche Zuordnung von Einnahmen und Ausgaben erfolgt nach den einkommensteuerrechtlichen Grundsätzen.</w:t>
      </w:r>
    </w:p>
    <w:p>
      <w:r>
        <w:rPr>
          <w:color w:val="555555"/>
          <w:sz w:val="17"/>
        </w:rPr>
        <w:t xml:space="preserve">Zitiervorschlag: § 2d BEEG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https://recht.nulegal.eu/gesetze/BEEG/2d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