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BEEG — Kündigung zum Ende der Elternzeit</w:t>
      </w:r>
    </w:p>
    <w:p>
      <w:r>
        <w:rPr>
          <w:color w:val="555555"/>
          <w:sz w:val="18"/>
        </w:rPr>
        <w:t xml:space="preserve">Bundeselterngeld- und Elternzeitgesetz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Arbeitnehmer oder die Arbeitnehmerin kann das Arbeitsverhältnis zum Ende der Elternzeit nur unter Einhaltung einer Kündigungsfrist von drei Monaten kündigen.</w:t>
      </w:r>
    </w:p>
    <w:p>
      <w:r>
        <w:rPr>
          <w:color w:val="555555"/>
          <w:sz w:val="17"/>
        </w:rPr>
        <w:t xml:space="preserve">Zitiervorschlag: § 19 BEEG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https://recht.nulegal.eu/gesetze/BEEG/19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