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BEEG — Rechtsweg</w:t>
      </w:r>
    </w:p>
    <w:p>
      <w:r>
        <w:rPr>
          <w:color w:val="555555"/>
          <w:sz w:val="18"/>
        </w:rPr>
        <w:t xml:space="preserve">Bundeselterngeld- und Elternzeitgesetz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Über öffentlich-rechtliche Streitigkeiten in Angelegenheiten der §§ 1 bis 12 entscheiden die Gerichte der Sozialgerichtsbarkeit. § 85 Absatz 2 Nummer 2 des Sozialgerichtsgesetzes gilt mit der Maßgabe, dass die zuständige Stelle nach § 12 bestimmt wird.</w:t>
      </w:r>
    </w:p>
    <w:p>
      <w:r>
        <w:t xml:space="preserve">(2) Widerspruch und Anfechtungsklage haben keine aufschiebende Wirkung.</w:t>
      </w:r>
    </w:p>
    <w:p>
      <w:r>
        <w:rPr>
          <w:color w:val="555555"/>
          <w:sz w:val="17"/>
        </w:rPr>
        <w:t xml:space="preserve">Zitiervorschlag: § 13 BEEG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https://recht.nulegal.eu/gesetze/BEEG/13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