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BEDV</w:t>
      </w:r>
    </w:p>
    <w:p>
      <w:r>
        <w:rPr>
          <w:color w:val="555555"/>
          <w:sz w:val="18"/>
        </w:rPr>
        <w:t xml:space="preserve">BEHG-Doppelbilanzierungsverordnung</w:t>
      </w:r>
    </w:p>
    <w:p>
      <w:r>
        <w:rPr>
          <w:color w:val="555555"/>
          <w:sz w:val="18"/>
        </w:rPr>
        <w:t xml:space="preserve">Stand: 01.02.2023 (konsolidierte Textfassung, kein amtliches Inkrafttretensdatum)</w:t>
      </w:r>
    </w:p>
    <w:p>
      <w:r>
        <w:t xml:space="preserve">Auf Grund des § 11 Absatz 2 des Brennstoffemissionshandelsgesetzes vom 12. Dezember 2019 (BGBl. I S. 2728) verordnet die Bundesregierung unter Wahrung der Rechte des Bundestages:</w:t>
      </w:r>
    </w:p>
    <w:p>
      <w:r>
        <w:rPr>
          <w:color w:val="555555"/>
          <w:sz w:val="17"/>
        </w:rPr>
        <w:t xml:space="preserve">Zitiervorschlag: Eingangsformel BEDV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