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BEDV — Maßgeblicher Preis</w:t>
      </w:r>
    </w:p>
    <w:p>
      <w:r>
        <w:rPr>
          <w:color w:val="555555"/>
          <w:sz w:val="18"/>
        </w:rPr>
        <w:t xml:space="preserve">BEHG-Doppelbilanzierungsverordnung</w:t>
      </w:r>
    </w:p>
    <w:p>
      <w:r>
        <w:rPr>
          <w:color w:val="555555"/>
          <w:sz w:val="18"/>
        </w:rPr>
        <w:t xml:space="preserve">Stand: 01.02.2023 (konsolidierte Textfassung, kein amtliches Inkrafttretensdatum)</w:t>
      </w:r>
    </w:p>
    <w:p>
      <w:r>
        <w:t xml:space="preserve">Für die Abrechnungsjahre 2021 bis 2025 entspricht der maßgebliche Preis der Emissionszertifikate dem Festpreis, der für das jeweilige Jahr nach § 10 Absatz 2 Satz 2 des Brennstoffemissionshandelsgesetzes festgelegt wurde. Für die Abrechnungsjahre ab dem Jahr 2026 entspricht der maßgebliche Preis der Emissionszertifikate für das jeweilige Abrechnungsjahr dem volumengewichteten Durchschnitt der Versteigerungspreise der Versteigerungen nach § 10 Absatz 1 Satz 2 und 3 des Brennstoffemissionshandelsgesetzes in dem jeweiligen Abrechnungsjahr.</w:t>
      </w:r>
    </w:p>
    <w:p>
      <w:r>
        <w:rPr>
          <w:color w:val="555555"/>
          <w:sz w:val="17"/>
        </w:rPr>
        <w:t xml:space="preserve">Zitiervorschlag: § 7 BEDV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https://recht.nulegal.eu/gesetze/BEDV/7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