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BEDV — Kompensationsbetrag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Der Kompensationsbetrag wird berechnet, indem die folgenden Werte miteinander multipliziert werden:</w:t>
      </w:r>
    </w:p>
    <w:p>
      <w:pPr>
        <w:ind w:left="420"/>
      </w:pPr>
      <w:r>
        <w:t xml:space="preserve">1. die maßgebliche Emissionsmenge nach § 6 und</w:t>
      </w:r>
    </w:p>
    <w:p>
      <w:pPr>
        <w:ind w:left="420"/>
      </w:pPr>
      <w:r>
        <w:t xml:space="preserve">2. der für das Abrechnungsjahr maßgebliche Preis der Emissionszertifikate in Euro pro Tonne nach § 7.</w:t>
      </w:r>
    </w:p>
    <w:p>
      <w:r>
        <w:rPr>
          <w:color w:val="555555"/>
          <w:sz w:val="17"/>
        </w:rPr>
        <w:t xml:space="preserve">Zitiervorschlag: § 5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