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BEDV — Antragserfordernis und Ausschlussregelung</w:t>
      </w:r>
    </w:p>
    <w:p>
      <w:r>
        <w:rPr>
          <w:color w:val="555555"/>
          <w:sz w:val="18"/>
        </w:rPr>
        <w:t xml:space="preserve">BEHG-Doppelbilanzierungsverordnung</w:t>
      </w:r>
    </w:p>
    <w:p>
      <w:r>
        <w:rPr>
          <w:color w:val="555555"/>
          <w:sz w:val="18"/>
        </w:rPr>
        <w:t xml:space="preserve">Stand: 01.02.2023 (konsolidierte Textfassung, kein amtliches Inkrafttretensdatum)</w:t>
      </w:r>
    </w:p>
    <w:p>
      <w:r>
        <w:t xml:space="preserve">(1) Auf Antrag gewährt die zuständige Behörde dem antragstellenden Anlagenbetreiber eine Kompensation zum Ausgleich von Belastungen infolge der Doppelbilanzierung im Sinne von § 11 Absatz 2 Satz 1 des Brennstoffemissionshandelsgesetzes.</w:t>
      </w:r>
    </w:p>
    <w:p>
      <w:r>
        <w:t xml:space="preserve">(2) Die Antragstellung nach § 8 ist nicht zulässig, wenn</w:t>
      </w:r>
    </w:p>
    <w:p>
      <w:pPr>
        <w:ind w:left="420"/>
      </w:pPr>
      <w:r>
        <w:t xml:space="preserve">1. der antragstellende Anlagenbetreiber einer Rückforderungsanordnung aufgrund einer früheren Kommissionsentscheidung zur Feststellung der Rechtswidrigkeit oder Unvereinbarkeit einer Beihilfe mit dem Gemeinsamen Markt gemäß Kapitel III der Verordnung (EU) 2015/1589 des Rates vom 13. Juli 2015 über besondere Vorschriften für die Anwendung von Artikel 108 des Vertrags über die Arbeitsweise der Europäischen Union (ABl. L 248 vom 24.9.2015, S. 9) nicht Folge geleistet hat oder</w:t>
      </w:r>
    </w:p>
    <w:p>
      <w:pPr>
        <w:ind w:left="420"/>
      </w:pPr>
      <w:r>
        <w:t xml:space="preserve">2. das Anlagenkonto im Unionsregister des antragstellenden Anlagenbetreibers wegen Nichtmitteilung von geprüften Emissionen nach Artikel 32 Absatz 1 der Delegierten Verordnung (EU) 2019/1122 der Kommission vom 12. März 2019 zur Ergänzung der Richtlinie 2003/87/EG des Europäischen Parlaments und des Rates im Hinblick auf die Funktionsweise des Unionsregisters (ABl. L 177 vom 2.7.2019, S. 3), die durch die Delegierte Verordnung (EU) 2019/1124 der Kommission vom 13. März 2019 (ABl. L 177 vom 2.7.2019, S. 66) geändert worden ist, gesperrt ist oder der Erfüllungsstatuswert des Vorjahres nach Artikel 33 der Delegierten Verordnung (EU) 2019/1122 negativ ist.</w:t>
      </w:r>
    </w:p>
    <w:p>
      <w:r>
        <w:rPr>
          <w:color w:val="555555"/>
          <w:sz w:val="17"/>
        </w:rPr>
        <w:t xml:space="preserve">Zitiervorschlag: § 4 BEDV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