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BEDV — Begriffsbestimmungen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Für diese Verordnung gelten neben den Begriffsbestimmungen des Brennstoffemissionshandelsgesetzes die folgenden Begriffsbestimmungen:</w:t>
      </w:r>
    </w:p>
    <w:p>
      <w:pPr>
        <w:ind w:left="420"/>
      </w:pPr>
      <w:r>
        <w:t xml:space="preserve">1. Abrechnungsjahr:Kalenderjahr in den Jahren 2021 bis 2030, für das die Kompensation beantragt wird;</w:t>
      </w:r>
    </w:p>
    <w:p>
      <w:pPr>
        <w:ind w:left="420"/>
      </w:pPr>
      <w:r>
        <w:t xml:space="preserve">2. Anlagenbetreiber:ein Anlagenbetreiber im Sinne des § 3 Nummer 2 des Treibhausgas-Emissionshandelsgesetzes;</w:t>
      </w:r>
    </w:p>
    <w:p>
      <w:pPr>
        <w:ind w:left="420"/>
      </w:pPr>
      <w:r>
        <w:t xml:space="preserve">3. emissionshandelspflichtige Anlage:eine Anlage im Sinne des § 3 Nummer 1 des Treibhausgas-Emissionshandelsgesetzes.</w:t>
      </w:r>
    </w:p>
    <w:p>
      <w:r>
        <w:rPr>
          <w:color w:val="555555"/>
          <w:sz w:val="17"/>
        </w:rPr>
        <w:t xml:space="preserve">Zitiervorschlag: § 2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