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BEDV — Inkrafttreten</w:t>
      </w:r>
    </w:p>
    <w:p>
      <w:r>
        <w:rPr>
          <w:color w:val="555555"/>
          <w:sz w:val="18"/>
        </w:rPr>
        <w:t xml:space="preserve">BEHG-Doppelbilanzierungsverordnung</w:t>
      </w:r>
    </w:p>
    <w:p>
      <w:r>
        <w:rPr>
          <w:color w:val="555555"/>
          <w:sz w:val="18"/>
        </w:rPr>
        <w:t xml:space="preserve">Stand: 01.02.2023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12 BEDV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