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BEDV — Anwendbare Regelungen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(1) Für das Kompensationsverfahren und die Evaluierung nach § 11 gelten § 15 Absatz 1 und § 17 der BEHG-Carbon-Leakage-Verordnung entsprechend.</w:t>
      </w:r>
    </w:p>
    <w:p>
      <w:r>
        <w:t xml:space="preserve">(2) Für die Verarbeitung personenbezogener Daten und die Wahrung der Vertraulichkeit bei der Durchführung dieser Verordnung gelten die §§ 24 und 25 der BEHG-Carbon-Leakage-Verordnung entsprechend.</w:t>
      </w:r>
    </w:p>
    <w:p>
      <w:r>
        <w:rPr>
          <w:color w:val="555555"/>
          <w:sz w:val="17"/>
        </w:rPr>
        <w:t xml:space="preserve">Zitiervorschlag: § 10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