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BEDV — Anwendungsbereich</w:t>
      </w:r>
    </w:p>
    <w:p>
      <w:r>
        <w:rPr>
          <w:color w:val="555555"/>
          <w:sz w:val="18"/>
        </w:rPr>
        <w:t xml:space="preserve">BEHG-Doppelbilanzierungsverordnung</w:t>
      </w:r>
    </w:p>
    <w:p>
      <w:r>
        <w:rPr>
          <w:color w:val="555555"/>
          <w:sz w:val="18"/>
        </w:rPr>
        <w:t xml:space="preserve">Stand: 01.02.2023 (konsolidierte Textfassung, kein amtliches Inkrafttretensdatum)</w:t>
      </w:r>
    </w:p>
    <w:p>
      <w:r>
        <w:t xml:space="preserve">Diese Verordnung gilt innerhalb des Anwendungsbereichs des Brennstoffemissionshandelsgesetzes vom 12. Dezember 2019 (BGBl. I S. 2728; 2022 I S. 2098), das zuletzt durch Artikel 2 des Gesetzes vom 9. November 2022 (BGBl. I S. 2006) geändert worden ist. Die Verordnung regelt die Voraussetzungen, die Berechnung und das Verfahren für eine vollständige finanzielle Kompensation nach § 11 Absatz 2 des Brennstoffemissionshandelsgesetzes zum Ausgleich von Belastungen, die Anlagenbetreibern für den Einsatz von Brennstoffen entstehen, für die zum einen nach dem Brennstoffemissionshandelsgesetz Emissionszertifikate abgegeben wurden und zum anderen wegen des Einsatzes dieser Brennstoffe in der emissionshandelspflichtigen Anlage nach dem Treibhausgas-Emissionshandelsgesetz vom 21. Juli 2011 (BGBl. I S. 1475), das zuletzt durch Artikel 18 des Gesetzes vom 10. August 2021 (BGBl. I S. 3436) geändert worden ist, Berechtigungen abgegeben werden müssen (Doppelbilanzierung).</w:t>
      </w:r>
    </w:p>
    <w:p>
      <w:r>
        <w:rPr>
          <w:color w:val="555555"/>
          <w:sz w:val="17"/>
        </w:rPr>
        <w:t xml:space="preserve">Zitiervorschlag: § 1 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