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BEDBPStruktG — Vorzeitige Versetzung in den Ruhestand Beamtinnen und Beamte des Bundeseisenbahnvermögens</w:t>
      </w:r>
    </w:p>
    <w:p>
      <w:r>
        <w:rPr>
          <w:color w:val="555555"/>
          <w:sz w:val="18"/>
        </w:rPr>
        <w:t xml:space="preserve">Gesetz zur Verbesserung der personellen Struktur beim Bundeseisenbahnvermögen und in den Postnachfolgeunternehmen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des Bundeseisenbahnvermögens, die von Umstrukturierungsmaßnahmen bei der Deutsche Bahn Aktiengesellschaft oder den nach § 2 Abs. 1 sowie § 3 Abs. 3 Satz 1 des Deutsche Bahn Gründungsgesetzes ausgegliederten oder gegründeten Unternehmen betroffen sind, können bis zum 31. Dezember 2006 auf Antrag in den Ruhestand versetzt werden, wenn</w:t>
      </w:r>
    </w:p>
    <w:p>
      <w:pPr>
        <w:ind w:left="420"/>
      </w:pPr>
      <w:r>
        <w:t xml:space="preserve">1. sie als Beamtinnen und Beamte des einfachen oder des mittleren Dienstes das 55. Lebensjahr oder als Beamtinnen und Beamte des gehobenen Dienstes das 60. Lebensjahr vollendet haben und</w:t>
      </w:r>
    </w:p>
    <w:p>
      <w:pPr>
        <w:ind w:left="420"/>
      </w:pPr>
      <w:r>
        <w:t xml:space="preserve">2. ihre anderweitige Verwendung in der eigenen oder in anderen Verwaltungen nicht möglich oder nach allgemeinen beamtenrechtlichen Grundsätzen nicht zumutbar ist.</w:t>
      </w:r>
    </w:p>
    <w:p>
      <w:r>
        <w:t xml:space="preserve">(2) § 5 Abs. 3 des Beamtenversorgungsgesetzes ist nicht anzuwenden. § 53 Abs. 2 Nr. 3 des Beamtenversorgungsgesetzes gilt entsprechend.</w:t>
      </w:r>
    </w:p>
    <w:p>
      <w:r>
        <w:t xml:space="preserve">(3) § 4 Abs. 1 Satz 1 des Bundesbesoldungsgesetzes gilt entsprechend.</w:t>
      </w:r>
    </w:p>
    <w:p>
      <w:r>
        <w:rPr>
          <w:color w:val="555555"/>
          <w:sz w:val="17"/>
        </w:rPr>
        <w:t xml:space="preserve">Zitiervorschlag: § 3 BEDBPStruktG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https://recht.nulegal.eu/gesetze/BEDBPStruktG/3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