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BEDBPStruktG — Förderung der anderweitigen Verwendung</w:t>
      </w:r>
    </w:p>
    <w:p>
      <w:r>
        <w:rPr>
          <w:color w:val="555555"/>
          <w:sz w:val="18"/>
        </w:rPr>
        <w:t xml:space="preserve">Gesetz zur Verbesserung der personellen Struktur beim Bundeseisenbahnvermögen und in den Postnachfolgeunternehmen</w:t>
      </w:r>
    </w:p>
    <w:p>
      <w:r>
        <w:rPr>
          <w:color w:val="555555"/>
          <w:sz w:val="18"/>
        </w:rPr>
        <w:t xml:space="preserve">Stand: 02.04.2021 (konsolidierte Textfassung, kein amtliches Inkrafttretensdatum)</w:t>
      </w:r>
    </w:p>
    <w:p>
      <w:r>
        <w:t xml:space="preserve">(1) Für jeden in § 1 Nr. 1 bezeichneten Beamten, der vor dem 1. Januar 1999 in einen anderen Geschäftsbereich oder in den Bereich eines anderen Dienstherrn versetzt wird, zahlt das Bundeseisenbahnvermögen an die aufnehmende Verwaltung oder den aufnehmenden Dienstherrn monatlich im voraus einen Betrag in Höhe der Hälfte der monatlichen Bezüge des Amtes, welches dem Beamten übertragen war. Die Zahlungsverpflichtung besteht bis zur Zurruhesetzung des betroffenen Beamten, höchstens jedoch fünf Jahre.</w:t>
      </w:r>
    </w:p>
    <w:p>
      <w:r>
        <w:t xml:space="preserve">(2) Nach dem Eintritt des Beamten in den Ruhestand werden die Versorgungslasten zwischen dem Bundeseisenbahnvermögen und der aufnehmenden Verwaltung geteilt. § 107b des Beamtenversorgungsgesetzes findet sinngemäße Anwendung.</w:t>
      </w:r>
    </w:p>
    <w:p>
      <w:r>
        <w:t xml:space="preserve">(3) Die Absätze 1 und 2 finden auf die in § 1 Nr. 2 bezeichneten Beamten bei anderweitiger Verwendung außerhalb der Deutschen Bundespost entsprechende Anwendung. Die Verpflichtungen treffen das Unternehmen der Deutschen Bundespost, dem der Beamte zuvor angehört hat.</w:t>
      </w:r>
    </w:p>
    <w:p>
      <w:r>
        <w:rPr>
          <w:color w:val="555555"/>
          <w:sz w:val="17"/>
        </w:rPr>
        <w:t xml:space="preserve">Zitiervorschlag: § 2 BEDBPStruktG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https://recht.nulegal.eu/gesetze/BEDBPStruktG/2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