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BEDBPStruktG — Geltungsbereich</w:t>
      </w:r>
    </w:p>
    <w:p>
      <w:r>
        <w:rPr>
          <w:color w:val="555555"/>
          <w:sz w:val="18"/>
        </w:rPr>
        <w:t xml:space="preserve">Gesetz zur Verbesserung der personellen Struktur beim Bundeseisenbahnvermögen und in den Postnachfolgeunternehmen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Dieses Gesetz gilt für Beamtinnen und Beamte</w:t>
      </w:r>
    </w:p>
    <w:p>
      <w:pPr>
        <w:ind w:left="420"/>
      </w:pPr>
      <w:r>
        <w:t xml:space="preserve">1. des Bundeseisenbahnvermögens, die von Umstrukturierungsmaßnahmen bei der Deutsche Bahn Aktiengesellschaft betroffen sind,</w:t>
      </w:r>
    </w:p>
    <w:p>
      <w:pPr>
        <w:ind w:left="420"/>
      </w:pPr>
      <w:r>
        <w:t xml:space="preserve">2. bei einem der Postnachfolgeunternehmen Deutsche Post AG, DB Privat- und Firmenkundenbank AG oder Deutsche Telekom AG (Aktiengesellschaft), die in Bereichen mit Personalüberhang beschäftigt sind, und</w:t>
      </w:r>
    </w:p>
    <w:p>
      <w:pPr>
        <w:ind w:left="420"/>
      </w:pPr>
      <w:r>
        <w:t xml:space="preserve">3. der Bundesanstalt für Post und Telekommunikation Deutsche Bundespost, die in Bereichen mit Personalüberhang beschäftigt sind.</w:t>
      </w:r>
    </w:p>
    <w:p>
      <w:r>
        <w:rPr>
          <w:color w:val="555555"/>
          <w:sz w:val="17"/>
        </w:rPr>
        <w:t xml:space="preserve">Zitiervorschlag: § 1 BEDBPStruktG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https://recht.nulegal.eu/gesetze/BEDBPStruktG/1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